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73" w:rsidRPr="00304239" w:rsidRDefault="00691E73" w:rsidP="00691E73">
      <w:pPr>
        <w:spacing w:after="120"/>
        <w:rPr>
          <w:rFonts w:ascii="Arial Narrow" w:eastAsia="Times New Roman" w:hAnsi="Arial Narrow"/>
          <w:b/>
          <w:sz w:val="22"/>
          <w:szCs w:val="22"/>
          <w:lang w:val="en-GB" w:eastAsia="nl-NL"/>
        </w:rPr>
      </w:pPr>
      <w:r w:rsidRPr="00B91544"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13A61F62" wp14:editId="670EB609">
            <wp:simplePos x="0" y="0"/>
            <wp:positionH relativeFrom="margin">
              <wp:posOffset>19050</wp:posOffset>
            </wp:positionH>
            <wp:positionV relativeFrom="paragraph">
              <wp:posOffset>102235</wp:posOffset>
            </wp:positionV>
            <wp:extent cx="904875" cy="557530"/>
            <wp:effectExtent l="19050" t="19050" r="28575" b="13970"/>
            <wp:wrapTight wrapText="bothSides">
              <wp:wrapPolygon edited="0">
                <wp:start x="-455" y="-738"/>
                <wp:lineTo x="-455" y="21403"/>
                <wp:lineTo x="21827" y="21403"/>
                <wp:lineTo x="21827" y="-738"/>
                <wp:lineTo x="-455" y="-738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5753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/>
          <w:b/>
          <w:sz w:val="22"/>
          <w:szCs w:val="22"/>
          <w:lang w:val="en-GB" w:eastAsia="nl-NL"/>
        </w:rPr>
        <w:br/>
      </w:r>
      <w:r>
        <w:rPr>
          <w:rFonts w:ascii="Arial Narrow" w:eastAsia="Times New Roman" w:hAnsi="Arial Narrow"/>
          <w:b/>
          <w:sz w:val="22"/>
          <w:szCs w:val="22"/>
          <w:lang w:val="en-GB" w:eastAsia="nl-NL"/>
        </w:rPr>
        <w:br/>
      </w:r>
      <w:r>
        <w:rPr>
          <w:rFonts w:ascii="Arial Narrow" w:eastAsia="Times New Roman" w:hAnsi="Arial Narrow"/>
          <w:b/>
          <w:sz w:val="22"/>
          <w:szCs w:val="22"/>
          <w:lang w:val="en-GB" w:eastAsia="nl-NL"/>
        </w:rPr>
        <w:br/>
      </w:r>
      <w:permStart w:id="1604388435" w:edGrp="everyone"/>
      <w:r w:rsidRPr="0054309D">
        <w:rPr>
          <w:rFonts w:ascii="Arial Narrow" w:eastAsia="Times New Roman" w:hAnsi="Arial Narrow"/>
          <w:b/>
          <w:sz w:val="22"/>
          <w:szCs w:val="22"/>
          <w:lang w:val="en-GB" w:eastAsia="nl-NL"/>
        </w:rPr>
        <w:t xml:space="preserve">Qualifications </w:t>
      </w:r>
      <w:r>
        <w:rPr>
          <w:rFonts w:ascii="Arial Narrow" w:eastAsia="Times New Roman" w:hAnsi="Arial Narrow"/>
          <w:b/>
          <w:sz w:val="22"/>
          <w:szCs w:val="22"/>
          <w:lang w:val="en-GB" w:eastAsia="nl-NL"/>
        </w:rPr>
        <w:t xml:space="preserve">Reference </w:t>
      </w:r>
      <w:r w:rsidRPr="0054309D">
        <w:rPr>
          <w:rFonts w:ascii="Arial Narrow" w:eastAsia="Times New Roman" w:hAnsi="Arial Narrow"/>
          <w:b/>
          <w:sz w:val="22"/>
          <w:szCs w:val="22"/>
          <w:lang w:val="en-GB" w:eastAsia="nl-NL"/>
        </w:rPr>
        <w:t xml:space="preserve">Framework </w:t>
      </w:r>
      <w:r>
        <w:rPr>
          <w:rFonts w:ascii="Arial Narrow" w:eastAsia="Times New Roman" w:hAnsi="Arial Narrow"/>
          <w:b/>
          <w:sz w:val="22"/>
          <w:szCs w:val="22"/>
          <w:lang w:val="en-GB" w:eastAsia="nl-NL"/>
        </w:rPr>
        <w:t xml:space="preserve">(Meta-Profile) of </w:t>
      </w:r>
      <w:r w:rsidRPr="0054309D">
        <w:rPr>
          <w:rFonts w:ascii="Arial Narrow" w:eastAsia="Times New Roman" w:hAnsi="Arial Narrow"/>
          <w:b/>
          <w:sz w:val="22"/>
          <w:szCs w:val="22"/>
          <w:lang w:val="en-GB" w:eastAsia="nl-NL"/>
        </w:rPr>
        <w:t xml:space="preserve">General Descriptors of a Bachelor </w:t>
      </w:r>
      <w:r>
        <w:rPr>
          <w:rFonts w:ascii="Arial Narrow" w:eastAsia="Times New Roman" w:hAnsi="Arial Narrow"/>
          <w:b/>
          <w:sz w:val="22"/>
          <w:szCs w:val="22"/>
          <w:lang w:val="en-GB" w:eastAsia="nl-NL"/>
        </w:rPr>
        <w:t>Programme</w:t>
      </w:r>
      <w:r w:rsidRPr="0054309D">
        <w:rPr>
          <w:rFonts w:ascii="Arial Narrow" w:eastAsia="Times New Roman" w:hAnsi="Arial Narrow"/>
          <w:b/>
          <w:sz w:val="22"/>
          <w:szCs w:val="22"/>
          <w:lang w:val="en-GB" w:eastAsia="nl-NL"/>
        </w:rPr>
        <w:t xml:space="preserve"> in the Subject Area of </w:t>
      </w:r>
      <w:r w:rsidRPr="0054309D">
        <w:rPr>
          <w:rFonts w:ascii="Arial Narrow" w:eastAsia="Times New Roman" w:hAnsi="Arial Narrow"/>
          <w:b/>
          <w:sz w:val="22"/>
          <w:szCs w:val="22"/>
          <w:u w:val="single"/>
          <w:lang w:val="en-GB" w:eastAsia="nl-NL"/>
        </w:rPr>
        <w:t>PHYSICS</w:t>
      </w:r>
      <w:r w:rsidRPr="0054309D">
        <w:rPr>
          <w:rFonts w:ascii="Arial Narrow" w:eastAsia="Times New Roman" w:hAnsi="Arial Narrow"/>
          <w:b/>
          <w:sz w:val="22"/>
          <w:szCs w:val="22"/>
          <w:lang w:val="en-GB" w:eastAsia="nl-NL"/>
        </w:rPr>
        <w:t xml:space="preserve"> (LEVEL 6)</w:t>
      </w:r>
      <w:permEnd w:id="1604388435"/>
    </w:p>
    <w:tbl>
      <w:tblPr>
        <w:tblStyle w:val="GridTable5Dark-Accent1"/>
        <w:tblW w:w="15803" w:type="dxa"/>
        <w:tblLook w:val="00A0" w:firstRow="1" w:lastRow="0" w:firstColumn="1" w:lastColumn="0" w:noHBand="0" w:noVBand="0"/>
      </w:tblPr>
      <w:tblGrid>
        <w:gridCol w:w="1689"/>
        <w:gridCol w:w="1535"/>
        <w:gridCol w:w="4611"/>
        <w:gridCol w:w="4384"/>
        <w:gridCol w:w="3584"/>
      </w:tblGrid>
      <w:tr w:rsidR="00691E73" w:rsidRPr="005D1FC2" w:rsidTr="00392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691E73" w:rsidRPr="0010037E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  <w:t>QF EHEA</w:t>
            </w:r>
          </w:p>
          <w:p w:rsidR="00691E73" w:rsidRPr="0010037E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  <w:t>1</w:t>
            </w:r>
            <w:r w:rsidRPr="0010037E"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vertAlign w:val="superscript"/>
                <w:lang w:val="en-GB" w:eastAsia="nl-NL"/>
              </w:rPr>
              <w:t>st</w:t>
            </w:r>
            <w:r w:rsidRPr="0010037E"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  <w:t xml:space="preserve"> cycle descriptors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691E73" w:rsidRPr="0010037E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  <w:t>SQF domain dimensions</w:t>
            </w:r>
          </w:p>
          <w:p w:rsidR="00691E73" w:rsidRPr="0010037E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  <w:t>Level 6</w:t>
            </w:r>
          </w:p>
          <w:p w:rsidR="00691E73" w:rsidRPr="0010037E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6"/>
                <w:szCs w:val="16"/>
                <w:lang w:val="en-GB" w:eastAsia="nl-NL"/>
              </w:rPr>
              <w:t>(BACHELOR)</w:t>
            </w:r>
          </w:p>
        </w:tc>
        <w:tc>
          <w:tcPr>
            <w:tcW w:w="4611" w:type="dxa"/>
          </w:tcPr>
          <w:p w:rsidR="00691E73" w:rsidRPr="006862E7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r w:rsidRPr="006862E7"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>EQF descriptor Knowledge</w:t>
            </w:r>
          </w:p>
          <w:p w:rsidR="00691E73" w:rsidRPr="006862E7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r w:rsidRPr="006862E7"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>Level 6</w:t>
            </w:r>
          </w:p>
          <w:p w:rsidR="00691E73" w:rsidRPr="006862E7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val="en-GB" w:eastAsia="en-US"/>
              </w:rPr>
            </w:pPr>
            <w:r w:rsidRPr="006862E7">
              <w:rPr>
                <w:rFonts w:ascii="Arial Narrow" w:eastAsia="Times New Roman" w:hAnsi="Arial Narrow"/>
                <w:b w:val="0"/>
                <w:bCs w:val="0"/>
                <w:i/>
                <w:snapToGrid w:val="0"/>
                <w:color w:val="FFFFFF"/>
                <w:sz w:val="11"/>
                <w:szCs w:val="11"/>
                <w:lang w:val="en-GB" w:eastAsia="en-US"/>
              </w:rPr>
              <w:t>A</w:t>
            </w:r>
            <w:r w:rsidRPr="006862E7"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val="en-GB" w:eastAsia="en-US"/>
              </w:rPr>
              <w:t>dvanced knowledge of a field of work or study, involving a critical understanding of theories and principles</w:t>
            </w:r>
          </w:p>
          <w:p w:rsidR="00691E73" w:rsidRPr="006862E7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/>
                <w:sz w:val="11"/>
                <w:szCs w:val="11"/>
                <w:lang w:val="en-GB" w:eastAsia="nl-NL"/>
              </w:rPr>
            </w:pPr>
          </w:p>
          <w:p w:rsidR="00691E73" w:rsidRPr="0010037E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:rsidR="00691E73" w:rsidRPr="0010037E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 xml:space="preserve">EQF descriptor Skills </w:t>
            </w:r>
          </w:p>
          <w:p w:rsidR="00691E73" w:rsidRPr="006862E7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r w:rsidRPr="006862E7"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>Level 6</w:t>
            </w:r>
          </w:p>
          <w:p w:rsidR="00691E73" w:rsidRPr="006862E7" w:rsidRDefault="00691E73" w:rsidP="0039274C">
            <w:pPr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val="en-GB" w:eastAsia="en-US"/>
              </w:rPr>
            </w:pPr>
            <w:r w:rsidRPr="006862E7"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val="en-GB" w:eastAsia="en-US"/>
              </w:rPr>
              <w:t>Advanced skills, demonstrating mastery and innovation, required to solve complex and unpredictable problems in a specialised field of work or study</w:t>
            </w:r>
          </w:p>
          <w:p w:rsidR="00691E73" w:rsidRPr="0010037E" w:rsidRDefault="00691E73" w:rsidP="0039274C">
            <w:pPr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eastAsia="nl-NL"/>
              </w:rPr>
            </w:pPr>
          </w:p>
        </w:tc>
        <w:tc>
          <w:tcPr>
            <w:tcW w:w="3584" w:type="dxa"/>
          </w:tcPr>
          <w:p w:rsidR="00691E73" w:rsidRPr="0010037E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>EQF descriptor Autonomy and Responsibility (Wider Competences)</w:t>
            </w:r>
          </w:p>
          <w:p w:rsidR="00691E73" w:rsidRPr="0010037E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r w:rsidRPr="0010037E">
              <w:rPr>
                <w:rFonts w:ascii="Arial Narrow" w:hAnsi="Arial Narrow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>Level 6</w:t>
            </w:r>
          </w:p>
          <w:p w:rsidR="00691E73" w:rsidRPr="0010037E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eastAsia="en-US"/>
              </w:rPr>
            </w:pPr>
            <w:r w:rsidRPr="0010037E">
              <w:rPr>
                <w:rFonts w:ascii="Arial Narrow" w:eastAsia="Times New Roman" w:hAnsi="Arial Narrow"/>
                <w:b w:val="0"/>
                <w:bCs w:val="0"/>
                <w:i/>
                <w:snapToGrid w:val="0"/>
                <w:color w:val="FFFFFF"/>
                <w:sz w:val="11"/>
                <w:szCs w:val="11"/>
                <w:lang w:val="en-GB" w:eastAsia="en-US"/>
              </w:rPr>
              <w:t xml:space="preserve">- </w:t>
            </w:r>
            <w:r w:rsidRPr="0010037E"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eastAsia="en-US"/>
              </w:rPr>
              <w:t>Manage complex technical or professional activities or projects, taking responsibility for decision-making in unpredictable work or study contexts</w:t>
            </w:r>
          </w:p>
          <w:p w:rsidR="00691E73" w:rsidRPr="0010037E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eastAsia="en-US"/>
              </w:rPr>
            </w:pPr>
            <w:r w:rsidRPr="0010037E">
              <w:rPr>
                <w:rFonts w:ascii="Arial Narrow" w:eastAsia="Times New Roman" w:hAnsi="Arial Narrow"/>
                <w:b w:val="0"/>
                <w:i/>
                <w:snapToGrid w:val="0"/>
                <w:color w:val="FFFFFF"/>
                <w:sz w:val="11"/>
                <w:szCs w:val="11"/>
                <w:lang w:eastAsia="en-US"/>
              </w:rPr>
              <w:t>- Take responsibility for managing professional development of individuals and groups</w:t>
            </w:r>
          </w:p>
          <w:p w:rsidR="00691E73" w:rsidRPr="0010037E" w:rsidRDefault="00691E73" w:rsidP="0039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 w:val="0"/>
                <w:bCs w:val="0"/>
                <w:i/>
                <w:snapToGrid w:val="0"/>
                <w:color w:val="FFFFFF"/>
                <w:sz w:val="11"/>
                <w:szCs w:val="11"/>
                <w:lang w:eastAsia="en-US"/>
              </w:rPr>
            </w:pPr>
          </w:p>
        </w:tc>
      </w:tr>
      <w:tr w:rsidR="00691E73" w:rsidRPr="006862E7" w:rsidTr="00392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691E73" w:rsidRPr="00C518E3" w:rsidRDefault="00691E73" w:rsidP="0039274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FFFFFF"/>
                <w:sz w:val="11"/>
                <w:szCs w:val="11"/>
                <w:lang w:eastAsia="nl-NL"/>
              </w:rPr>
            </w:pPr>
            <w:permStart w:id="1483627568" w:edGrp="everyone" w:colFirst="2" w:colLast="2"/>
            <w:permStart w:id="1138244239" w:edGrp="everyone" w:colFirst="3" w:colLast="3"/>
            <w:permStart w:id="144770414" w:edGrp="everyone" w:colFirst="4" w:colLast="4"/>
            <w:r w:rsidRPr="006862E7"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 xml:space="preserve">I. </w:t>
            </w:r>
            <w:r w:rsidRPr="006862E7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  <w:t>Have demonstrated knowledge and understanding in a field of study that builds upon their general secondary education, and is typically at a level that, whilst supported by advanced textbooks, inc</w:t>
            </w:r>
            <w:r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  <w:t xml:space="preserve">ludes some </w:t>
            </w:r>
            <w:r w:rsidRPr="00C518E3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  <w:t>aspects that will be informed by knowledge of the forefront of their field of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1.Theories and models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Describe the fundamental concepts, laws, models and theories of classical physics and elements of modern physics, as well as their application across a number of real-life situations.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:rsidR="00691E73" w:rsidRPr="00003DF6" w:rsidRDefault="00691E73" w:rsidP="0039274C">
            <w:pPr>
              <w:widowControl w:val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Use physical concepts, laws and theories from various domains of physics to model, analyse and explain simple physical phenomena and problems.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Identify relevant physics theories and models required to interpret phenomena, observations, and real-life situations.</w:t>
            </w:r>
            <w:bookmarkStart w:id="0" w:name="_GoBack"/>
            <w:bookmarkEnd w:id="0"/>
          </w:p>
        </w:tc>
      </w:tr>
      <w:tr w:rsidR="00691E73" w:rsidRPr="006862E7" w:rsidTr="00392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:rsidR="00691E73" w:rsidRPr="006862E7" w:rsidRDefault="00691E73" w:rsidP="0039274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</w:pPr>
            <w:permStart w:id="249769630" w:edGrp="everyone" w:colFirst="2" w:colLast="2"/>
            <w:permStart w:id="1081165516" w:edGrp="everyone" w:colFirst="3" w:colLast="3"/>
            <w:permStart w:id="1796898590" w:edGrp="everyone" w:colFirst="4" w:colLast="4"/>
            <w:permEnd w:id="1483627568"/>
            <w:permEnd w:id="1138244239"/>
            <w:permEnd w:id="144770414"/>
            <w:r w:rsidRPr="006862E7"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 xml:space="preserve">II. </w:t>
            </w:r>
            <w:r w:rsidRPr="006862E7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val="en-GB" w:eastAsia="nl-NL"/>
              </w:rPr>
              <w:t>C</w:t>
            </w:r>
            <w:r w:rsidRPr="006862E7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  <w:t>an apply their knowledge and understanding in a manner that indicates a professional approach to their work or vocation, and have competences typically demonstrated through devising and sustaining arguments and solving problems within their field of study</w:t>
            </w:r>
          </w:p>
          <w:p w:rsidR="00691E73" w:rsidRPr="006862E7" w:rsidRDefault="00691E73" w:rsidP="0039274C">
            <w:pPr>
              <w:autoSpaceDE w:val="0"/>
              <w:autoSpaceDN w:val="0"/>
              <w:adjustRightInd w:val="0"/>
              <w:spacing w:before="120" w:after="120"/>
              <w:ind w:left="-38"/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  <w:shd w:val="clear" w:color="auto" w:fill="DBE5F1" w:themeFill="accent1" w:themeFillTint="33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2. Mathematical methods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Name and describe standard mathematical (analytical and numerical) tools and methods and their application in the context of physics theories.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shd w:val="clear" w:color="auto" w:fill="DBE5F1" w:themeFill="accent1" w:themeFillTint="33"/>
          </w:tcPr>
          <w:p w:rsidR="00691E73" w:rsidRPr="00003DF6" w:rsidRDefault="00691E73" w:rsidP="0039274C">
            <w:pPr>
              <w:widowControl w:val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Apply standard mathematical (analytical and numerical) tools and methods to solve problems in physics.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Identify and employ standard mathematical (analytical and numerical) tools and methods to solve problems and model situations.</w:t>
            </w:r>
          </w:p>
        </w:tc>
      </w:tr>
      <w:tr w:rsidR="00691E73" w:rsidRPr="006862E7" w:rsidTr="00392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:rsidR="00691E73" w:rsidRPr="006862E7" w:rsidRDefault="00691E73" w:rsidP="0039274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permStart w:id="1398215279" w:edGrp="everyone" w:colFirst="2" w:colLast="2"/>
            <w:permStart w:id="1933445343" w:edGrp="everyone" w:colFirst="3" w:colLast="3"/>
            <w:permStart w:id="1797869652" w:edGrp="everyone" w:colFirst="4" w:colLast="4"/>
            <w:permEnd w:id="249769630"/>
            <w:permEnd w:id="1081165516"/>
            <w:permEnd w:id="179689859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3. Experimental design and scientific investigation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Describe standard methods, instrumentation, techniques, theories and regulations used in experimental physics.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:rsidR="00691E73" w:rsidRPr="00003DF6" w:rsidRDefault="00691E73" w:rsidP="0039274C">
            <w:pPr>
              <w:widowControl w:val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Design a simple experimental investigation, using standard instrumentation and follow guidelines, and apply basic methods, techniques and theories for data collection, analysis and reporting.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Set up and carry out simple scientific investigations safely under supervision.</w:t>
            </w:r>
          </w:p>
        </w:tc>
      </w:tr>
      <w:tr w:rsidR="00691E73" w:rsidRPr="006862E7" w:rsidTr="00392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:rsidR="00691E73" w:rsidRPr="006862E7" w:rsidRDefault="00691E73" w:rsidP="0039274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permStart w:id="316033132" w:edGrp="everyone" w:colFirst="2" w:colLast="2"/>
            <w:permStart w:id="148393969" w:edGrp="everyone" w:colFirst="3" w:colLast="3"/>
            <w:permStart w:id="1723205250" w:edGrp="everyone" w:colFirst="4" w:colLast="4"/>
            <w:permEnd w:id="1398215279"/>
            <w:permEnd w:id="1933445343"/>
            <w:permEnd w:id="179786965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  <w:shd w:val="clear" w:color="auto" w:fill="DBE5F1" w:themeFill="accent1" w:themeFillTint="33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4. Problem solving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Link physics concepts and laws with basic strategies, procedures, tools and criteria for framing, representing, solving and validating the results of a problem.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shd w:val="clear" w:color="auto" w:fill="DBE5F1" w:themeFill="accent1" w:themeFillTint="33"/>
          </w:tcPr>
          <w:p w:rsidR="00691E73" w:rsidRPr="00003DF6" w:rsidRDefault="00691E73" w:rsidP="0039274C">
            <w:pPr>
              <w:widowControl w:val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Categorise problems based on physical principles, analyse a problem, recognise its structure and devise a (creative) plan for its solution, execute the devised plan and check for its validity.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Address problems from the point of view of physics, identifying the laws and concepts that apply in a specific situation, devise and carry out a (creative) plan for reaching a solution and check its validity.</w:t>
            </w:r>
          </w:p>
        </w:tc>
      </w:tr>
      <w:tr w:rsidR="00691E73" w:rsidRPr="006862E7" w:rsidTr="00392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:rsidR="00691E73" w:rsidRPr="006862E7" w:rsidRDefault="00691E73" w:rsidP="0039274C">
            <w:pPr>
              <w:spacing w:before="120" w:after="120"/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</w:pPr>
            <w:permStart w:id="1049367834" w:edGrp="everyone" w:colFirst="2" w:colLast="2"/>
            <w:permStart w:id="321408358" w:edGrp="everyone" w:colFirst="3" w:colLast="3"/>
            <w:permStart w:id="360714431" w:edGrp="everyone" w:colFirst="4" w:colLast="4"/>
            <w:permEnd w:id="316033132"/>
            <w:permEnd w:id="148393969"/>
            <w:permEnd w:id="1723205250"/>
            <w:r w:rsidRPr="006862E7"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 xml:space="preserve">III. </w:t>
            </w:r>
            <w:r w:rsidRPr="006862E7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val="en-GB" w:eastAsia="nl-NL"/>
              </w:rPr>
              <w:t>H</w:t>
            </w:r>
            <w:proofErr w:type="spellStart"/>
            <w:r w:rsidRPr="006862E7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  <w:t>ave</w:t>
            </w:r>
            <w:proofErr w:type="spellEnd"/>
            <w:r w:rsidRPr="006862E7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  <w:t xml:space="preserve"> the ability to gather and interpret relevant data (usually within their field of study) to inform judgements that include reflection on relevant social, scientific or ethical issues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5. Scientific culture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Describe the main traits of the historical and epistemological development of physics and relate them to changes and/or issues in technology, society, and the rules of the scientific community.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:rsidR="00691E73" w:rsidRPr="00003DF6" w:rsidRDefault="00691E73" w:rsidP="0039274C">
            <w:pPr>
              <w:widowControl w:val="0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 xml:space="preserve">Select with guidance and use sources of information on the history and current development of physics and on epistemology, and analyse some relevant </w:t>
            </w:r>
            <w:proofErr w:type="gramStart"/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examples also</w:t>
            </w:r>
            <w:proofErr w:type="gramEnd"/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 xml:space="preserve"> in relation to technological and societal issues.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 xml:space="preserve">Identify some common ideas and approaches in different areas of </w:t>
            </w:r>
            <w:proofErr w:type="gramStart"/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science also</w:t>
            </w:r>
            <w:proofErr w:type="gramEnd"/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 xml:space="preserve"> in relation to its historical and epistemological evolution, and evaluate the influence of science on technology and society in some relevant cases.</w:t>
            </w:r>
          </w:p>
        </w:tc>
      </w:tr>
      <w:tr w:rsidR="00691E73" w:rsidRPr="006862E7" w:rsidTr="0039274C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:rsidR="00691E73" w:rsidRPr="006862E7" w:rsidRDefault="00691E73" w:rsidP="0039274C">
            <w:pPr>
              <w:spacing w:before="120" w:after="120"/>
              <w:rPr>
                <w:rFonts w:ascii="Arial" w:hAnsi="Arial" w:cs="Arial"/>
                <w:color w:val="FFFFFF"/>
                <w:sz w:val="11"/>
                <w:szCs w:val="11"/>
                <w:lang w:val="en-GB" w:eastAsia="nl-NL"/>
              </w:rPr>
            </w:pPr>
            <w:permStart w:id="1253769337" w:edGrp="everyone" w:colFirst="2" w:colLast="2"/>
            <w:permStart w:id="1465265303" w:edGrp="everyone" w:colFirst="3" w:colLast="3"/>
            <w:permStart w:id="483276720" w:edGrp="everyone" w:colFirst="4" w:colLast="4"/>
            <w:permEnd w:id="1049367834"/>
            <w:permEnd w:id="321408358"/>
            <w:permEnd w:id="36071443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  <w:shd w:val="clear" w:color="auto" w:fill="DBE5F1" w:themeFill="accent1" w:themeFillTint="33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6. Work ethic and integrity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State general ethical principles, norms, values, and standards relevant to the work of a physicist, as well as some examples when physics influences health, environment, politics and/or society.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shd w:val="clear" w:color="auto" w:fill="DBE5F1" w:themeFill="accent1" w:themeFillTint="33"/>
          </w:tcPr>
          <w:p w:rsidR="00691E73" w:rsidRPr="00003DF6" w:rsidRDefault="00691E73" w:rsidP="0039274C">
            <w:pPr>
              <w:widowControl w:val="0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Apply general ethical rules and rules of scientific conduct to the assigned tasks.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Make decisions in line with ethical norms and with regard to civic responsibility, and contribute to local communities and organisations according to own competence.</w:t>
            </w:r>
          </w:p>
        </w:tc>
      </w:tr>
      <w:tr w:rsidR="00691E73" w:rsidRPr="006862E7" w:rsidTr="00392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:rsidR="00691E73" w:rsidRPr="006862E7" w:rsidRDefault="00691E73" w:rsidP="0039274C">
            <w:pPr>
              <w:spacing w:before="120" w:after="120"/>
              <w:rPr>
                <w:rFonts w:ascii="Arial" w:eastAsia="Times New Roman" w:hAnsi="Arial" w:cs="Arial"/>
                <w:b w:val="0"/>
                <w:i/>
                <w:color w:val="FFFFFF"/>
                <w:sz w:val="11"/>
                <w:szCs w:val="11"/>
                <w:lang w:eastAsia="en-US"/>
              </w:rPr>
            </w:pPr>
            <w:permStart w:id="1258836448" w:edGrp="everyone" w:colFirst="2" w:colLast="2"/>
            <w:permStart w:id="1817129295" w:edGrp="everyone" w:colFirst="3" w:colLast="3"/>
            <w:permStart w:id="556096461" w:edGrp="everyone" w:colFirst="4" w:colLast="4"/>
            <w:permEnd w:id="1253769337"/>
            <w:permEnd w:id="1465265303"/>
            <w:permEnd w:id="483276720"/>
            <w:r w:rsidRPr="006862E7"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>IV.</w:t>
            </w:r>
            <w:r w:rsidRPr="006862E7">
              <w:rPr>
                <w:rFonts w:ascii="Arial" w:eastAsia="Times New Roman" w:hAnsi="Arial" w:cs="Arial"/>
                <w:b w:val="0"/>
                <w:bCs w:val="0"/>
                <w:color w:val="FFFFFF"/>
                <w:sz w:val="11"/>
                <w:szCs w:val="11"/>
                <w:lang w:val="en-GB" w:eastAsia="en-US"/>
              </w:rPr>
              <w:t xml:space="preserve"> </w:t>
            </w:r>
            <w:r w:rsidRPr="006862E7">
              <w:rPr>
                <w:rFonts w:ascii="Arial" w:eastAsia="Times New Roman" w:hAnsi="Arial" w:cs="Arial"/>
                <w:b w:val="0"/>
                <w:i/>
                <w:color w:val="FFFFFF"/>
                <w:sz w:val="11"/>
                <w:szCs w:val="11"/>
                <w:lang w:eastAsia="en-US"/>
              </w:rPr>
              <w:t>Can communicate information, ideas, problems and solutions to both specialist and non-specialist audiences</w:t>
            </w:r>
          </w:p>
          <w:p w:rsidR="00691E73" w:rsidRPr="006862E7" w:rsidRDefault="00691E73" w:rsidP="0039274C">
            <w:pPr>
              <w:spacing w:before="120" w:after="120"/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7. Communication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Describe different methods and tools of communication.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:rsidR="00691E73" w:rsidRPr="00003DF6" w:rsidRDefault="00691E73" w:rsidP="0039274C">
            <w:pPr>
              <w:widowControl w:val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Present complex information in a concise manner orally and in writing.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Evaluate scientific material, communicate it orally and in writing in language appropriate for the audience.</w:t>
            </w:r>
          </w:p>
        </w:tc>
      </w:tr>
      <w:tr w:rsidR="00691E73" w:rsidRPr="006862E7" w:rsidTr="0039274C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:rsidR="00691E73" w:rsidRPr="006862E7" w:rsidRDefault="00691E73" w:rsidP="0039274C">
            <w:pPr>
              <w:spacing w:before="120" w:after="120"/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</w:pPr>
            <w:permStart w:id="1865496598" w:edGrp="everyone" w:colFirst="2" w:colLast="2"/>
            <w:permStart w:id="190186535" w:edGrp="everyone" w:colFirst="3" w:colLast="3"/>
            <w:permStart w:id="68947731" w:edGrp="everyone" w:colFirst="4" w:colLast="4"/>
            <w:permEnd w:id="1258836448"/>
            <w:permEnd w:id="1817129295"/>
            <w:permEnd w:id="55609646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  <w:shd w:val="clear" w:color="auto" w:fill="DBE5F1" w:themeFill="accent1" w:themeFillTint="33"/>
          </w:tcPr>
          <w:p w:rsidR="00691E73" w:rsidRPr="00980784" w:rsidRDefault="00691E73" w:rsidP="0039274C">
            <w:pPr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8. Project Management and Teamwork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Describe strategies for project work and demonstrate attitude to work collaboratively.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shd w:val="clear" w:color="auto" w:fill="DBE5F1" w:themeFill="accent1" w:themeFillTint="33"/>
          </w:tcPr>
          <w:p w:rsidR="00691E73" w:rsidRPr="00003DF6" w:rsidRDefault="00691E73" w:rsidP="0039274C">
            <w:pPr>
              <w:widowControl w:val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Organize and complete a simple project individually or in team.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Identify and implement an appropriate strategy to carry out a simple individual or group project, collaborate constructively, exercise some initiative and acknowledge accountability for the assigned tasks.</w:t>
            </w:r>
          </w:p>
        </w:tc>
      </w:tr>
      <w:tr w:rsidR="00691E73" w:rsidRPr="006862E7" w:rsidTr="00392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691E73" w:rsidRPr="006862E7" w:rsidRDefault="00691E73" w:rsidP="0039274C">
            <w:pPr>
              <w:spacing w:before="120" w:after="120"/>
              <w:rPr>
                <w:rFonts w:ascii="Arial" w:hAnsi="Arial" w:cs="Arial"/>
                <w:color w:val="FFFFFF"/>
                <w:sz w:val="11"/>
                <w:szCs w:val="11"/>
                <w:lang w:eastAsia="nl-NL"/>
              </w:rPr>
            </w:pPr>
            <w:permStart w:id="456743909" w:edGrp="everyone" w:colFirst="2" w:colLast="2"/>
            <w:permStart w:id="914233680" w:edGrp="everyone" w:colFirst="3" w:colLast="3"/>
            <w:permStart w:id="734871380" w:edGrp="everyone" w:colFirst="4" w:colLast="4"/>
            <w:permEnd w:id="1865496598"/>
            <w:permEnd w:id="190186535"/>
            <w:permEnd w:id="68947731"/>
            <w:r w:rsidRPr="006862E7">
              <w:rPr>
                <w:rFonts w:ascii="Arial" w:hAnsi="Arial" w:cs="Arial"/>
                <w:b w:val="0"/>
                <w:bCs w:val="0"/>
                <w:color w:val="FFFFFF"/>
                <w:sz w:val="11"/>
                <w:szCs w:val="11"/>
                <w:lang w:val="en-GB" w:eastAsia="nl-NL"/>
              </w:rPr>
              <w:t xml:space="preserve">V. </w:t>
            </w:r>
            <w:r w:rsidRPr="006862E7">
              <w:rPr>
                <w:rFonts w:ascii="Arial" w:hAnsi="Arial" w:cs="Arial"/>
                <w:b w:val="0"/>
                <w:i/>
                <w:color w:val="FFFFFF"/>
                <w:sz w:val="11"/>
                <w:szCs w:val="11"/>
                <w:lang w:eastAsia="nl-NL"/>
              </w:rPr>
              <w:t>Have developed those learning skills that are necessary for them to continue to undertake further study with a high degree of autonomy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691E73" w:rsidRPr="00980784" w:rsidRDefault="00691E73" w:rsidP="0039274C">
            <w:pPr>
              <w:widowControl w:val="0"/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980784">
              <w:rPr>
                <w:rFonts w:ascii="Cambria" w:eastAsia="Cambria" w:hAnsi="Cambria" w:cs="Arial"/>
                <w:b/>
                <w:sz w:val="16"/>
                <w:szCs w:val="16"/>
                <w:lang w:val="en-GB"/>
              </w:rPr>
              <w:t>9. Professional development</w:t>
            </w:r>
          </w:p>
        </w:tc>
        <w:tc>
          <w:tcPr>
            <w:tcW w:w="4611" w:type="dxa"/>
          </w:tcPr>
          <w:p w:rsidR="00691E73" w:rsidRPr="00003DF6" w:rsidRDefault="00691E73" w:rsidP="003927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Identify relevant competences needed for pursuing further studies (career goals), as well as personal strengths, weaknesses and attitudes.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:rsidR="00691E73" w:rsidRPr="00003DF6" w:rsidRDefault="00691E73" w:rsidP="0039274C">
            <w:pPr>
              <w:widowControl w:val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Organise own study and/or learning process, using different kinds of learning materials; evaluate personal work and search for information and support.</w:t>
            </w:r>
          </w:p>
        </w:tc>
        <w:tc>
          <w:tcPr>
            <w:tcW w:w="3584" w:type="dxa"/>
          </w:tcPr>
          <w:p w:rsidR="00691E73" w:rsidRPr="00003DF6" w:rsidRDefault="00691E73" w:rsidP="0039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Arial"/>
                <w:sz w:val="16"/>
                <w:szCs w:val="16"/>
                <w:lang w:val="en-GB"/>
              </w:rPr>
            </w:pPr>
            <w:r w:rsidRPr="00003DF6">
              <w:rPr>
                <w:rFonts w:ascii="Cambria" w:eastAsia="Cambria" w:hAnsi="Cambria" w:cs="Arial"/>
                <w:sz w:val="16"/>
                <w:szCs w:val="16"/>
                <w:lang w:val="en-GB"/>
              </w:rPr>
              <w:t>Enter new fields of study through a positive attitude, evaluate own personal and professional competences and take responsibility for own learning.</w:t>
            </w:r>
          </w:p>
        </w:tc>
      </w:tr>
      <w:permEnd w:id="456743909"/>
      <w:permEnd w:id="914233680"/>
      <w:permEnd w:id="734871380"/>
    </w:tbl>
    <w:p w:rsidR="00691E73" w:rsidRDefault="00691E73" w:rsidP="00691E73"/>
    <w:p w:rsidR="00D50C29" w:rsidRDefault="00D50C29"/>
    <w:sectPr w:rsidR="00D50C29" w:rsidSect="0065483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zXcaaFSEkFfcySw4ZUGa9yH6Kx9UG3jHImJUOIQubbc/jBR3HW2kDESz4t0oWyKZMNm+uA+gQVMNHht5by72Q==" w:salt="Vt/Sc/h6DQzJ0noh6Ma7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3"/>
    <w:rsid w:val="002228A9"/>
    <w:rsid w:val="00234988"/>
    <w:rsid w:val="00250C61"/>
    <w:rsid w:val="00691E73"/>
    <w:rsid w:val="00D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0AF3-FF32-4F8E-BF62-8ECD7027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7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691E73"/>
    <w:pPr>
      <w:spacing w:after="0" w:line="240" w:lineRule="auto"/>
    </w:pPr>
    <w:rPr>
      <w:lang w:val="it-IT"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5060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Silvius</dc:creator>
  <cp:keywords/>
  <dc:description/>
  <cp:lastModifiedBy>A. Silvius</cp:lastModifiedBy>
  <cp:revision>1</cp:revision>
  <dcterms:created xsi:type="dcterms:W3CDTF">2018-11-07T08:21:00Z</dcterms:created>
  <dcterms:modified xsi:type="dcterms:W3CDTF">2018-11-07T08:22:00Z</dcterms:modified>
</cp:coreProperties>
</file>