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D4838" w14:textId="62245F63" w:rsidR="003E3E79" w:rsidRPr="00DC78EB" w:rsidRDefault="0037325A" w:rsidP="00103849">
      <w:pPr>
        <w:rPr>
          <w:rFonts w:asciiTheme="majorHAnsi" w:hAnsiTheme="majorHAnsi"/>
          <w:b/>
          <w:sz w:val="28"/>
          <w:lang w:val="en-GB"/>
        </w:rPr>
      </w:pPr>
      <w:r w:rsidRPr="00B91544">
        <w:rPr>
          <w:noProof/>
          <w:lang w:eastAsia="nl-NL"/>
        </w:rPr>
        <w:drawing>
          <wp:anchor distT="0" distB="0" distL="114300" distR="114300" simplePos="0" relativeHeight="251662848" behindDoc="1" locked="0" layoutInCell="1" allowOverlap="1" wp14:anchorId="6EB76DF0" wp14:editId="0E018B99">
            <wp:simplePos x="0" y="0"/>
            <wp:positionH relativeFrom="margin">
              <wp:posOffset>4676775</wp:posOffset>
            </wp:positionH>
            <wp:positionV relativeFrom="paragraph">
              <wp:posOffset>361950</wp:posOffset>
            </wp:positionV>
            <wp:extent cx="2112010" cy="621665"/>
            <wp:effectExtent l="0" t="0" r="2540" b="6985"/>
            <wp:wrapThrough wrapText="bothSides">
              <wp:wrapPolygon edited="0">
                <wp:start x="0" y="0"/>
                <wp:lineTo x="0" y="21181"/>
                <wp:lineTo x="21431" y="21181"/>
                <wp:lineTo x="21431" y="0"/>
                <wp:lineTo x="0" y="0"/>
              </wp:wrapPolygon>
            </wp:wrapThrough>
            <wp:docPr id="11" name="Picture 7" descr="X:\Data\My Documents\CALOHEE\LOGO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ata\My Documents\CALOHEE\LOGO 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01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544">
        <w:rPr>
          <w:noProof/>
          <w:lang w:eastAsia="nl-NL"/>
        </w:rPr>
        <w:drawing>
          <wp:anchor distT="0" distB="0" distL="114300" distR="114300" simplePos="0" relativeHeight="251666944" behindDoc="1" locked="0" layoutInCell="1" allowOverlap="1" wp14:anchorId="6C552659" wp14:editId="19AD2643">
            <wp:simplePos x="0" y="0"/>
            <wp:positionH relativeFrom="margin">
              <wp:posOffset>57150</wp:posOffset>
            </wp:positionH>
            <wp:positionV relativeFrom="paragraph">
              <wp:posOffset>96520</wp:posOffset>
            </wp:positionV>
            <wp:extent cx="1335405" cy="823595"/>
            <wp:effectExtent l="19050" t="19050" r="17145" b="14605"/>
            <wp:wrapTight wrapText="bothSides">
              <wp:wrapPolygon edited="0">
                <wp:start x="-308" y="-500"/>
                <wp:lineTo x="-308" y="21483"/>
                <wp:lineTo x="21569" y="21483"/>
                <wp:lineTo x="21569" y="-500"/>
                <wp:lineTo x="-308" y="-50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405" cy="823595"/>
                    </a:xfrm>
                    <a:prstGeom prst="rect">
                      <a:avLst/>
                    </a:prstGeom>
                    <a:ln>
                      <a:solidFill>
                        <a:sysClr val="window" lastClr="FFFFFF"/>
                      </a:solidFill>
                    </a:ln>
                  </pic:spPr>
                </pic:pic>
              </a:graphicData>
            </a:graphic>
            <wp14:sizeRelH relativeFrom="page">
              <wp14:pctWidth>0</wp14:pctWidth>
            </wp14:sizeRelH>
            <wp14:sizeRelV relativeFrom="page">
              <wp14:pctHeight>0</wp14:pctHeight>
            </wp14:sizeRelV>
          </wp:anchor>
        </w:drawing>
      </w:r>
      <w:r w:rsidR="00E6385F">
        <w:rPr>
          <w:rFonts w:asciiTheme="majorHAnsi" w:hAnsiTheme="majorHAnsi"/>
          <w:b/>
          <w:sz w:val="28"/>
          <w:lang w:val="en-GB"/>
        </w:rPr>
        <w:t xml:space="preserve">  </w:t>
      </w:r>
    </w:p>
    <w:p w14:paraId="588866DB" w14:textId="77777777" w:rsidR="003E3E79" w:rsidRPr="00DC78EB" w:rsidRDefault="0037325A" w:rsidP="00103849">
      <w:pPr>
        <w:rPr>
          <w:rFonts w:asciiTheme="majorHAnsi" w:hAnsiTheme="majorHAnsi"/>
          <w:b/>
          <w:sz w:val="28"/>
          <w:lang w:val="en-GB"/>
        </w:rPr>
      </w:pPr>
      <w:r>
        <w:rPr>
          <w:noProof/>
          <w:lang w:eastAsia="nl-NL"/>
        </w:rPr>
        <w:drawing>
          <wp:anchor distT="0" distB="0" distL="114300" distR="114300" simplePos="0" relativeHeight="251664896" behindDoc="0" locked="0" layoutInCell="1" allowOverlap="1" wp14:anchorId="22A18A9E" wp14:editId="2A4FA4AB">
            <wp:simplePos x="0" y="0"/>
            <wp:positionH relativeFrom="column">
              <wp:posOffset>1962785</wp:posOffset>
            </wp:positionH>
            <wp:positionV relativeFrom="paragraph">
              <wp:posOffset>27940</wp:posOffset>
            </wp:positionV>
            <wp:extent cx="2038350" cy="476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476250"/>
                    </a:xfrm>
                    <a:prstGeom prst="rect">
                      <a:avLst/>
                    </a:prstGeom>
                  </pic:spPr>
                </pic:pic>
              </a:graphicData>
            </a:graphic>
            <wp14:sizeRelH relativeFrom="margin">
              <wp14:pctWidth>0</wp14:pctWidth>
            </wp14:sizeRelH>
            <wp14:sizeRelV relativeFrom="margin">
              <wp14:pctHeight>0</wp14:pctHeight>
            </wp14:sizeRelV>
          </wp:anchor>
        </w:drawing>
      </w:r>
    </w:p>
    <w:p w14:paraId="03DEC996" w14:textId="77777777" w:rsidR="0037325A" w:rsidRDefault="0037325A" w:rsidP="00103849">
      <w:pPr>
        <w:rPr>
          <w:rFonts w:asciiTheme="majorHAnsi" w:hAnsiTheme="majorHAnsi"/>
          <w:b/>
          <w:sz w:val="28"/>
          <w:lang w:val="en-GB"/>
        </w:rPr>
      </w:pPr>
    </w:p>
    <w:p w14:paraId="1B5388E5" w14:textId="11D38E9B" w:rsidR="00D50C29" w:rsidRDefault="008D2209" w:rsidP="006B2CB9">
      <w:pPr>
        <w:spacing w:after="0"/>
        <w:rPr>
          <w:rFonts w:ascii="Arial" w:hAnsi="Arial" w:cs="Arial"/>
          <w:b/>
          <w:sz w:val="24"/>
          <w:lang w:val="en-GB"/>
        </w:rPr>
      </w:pPr>
      <w:r w:rsidRPr="0037325A">
        <w:rPr>
          <w:rFonts w:ascii="Arial" w:hAnsi="Arial" w:cs="Arial"/>
          <w:b/>
          <w:sz w:val="24"/>
          <w:lang w:val="en-GB"/>
        </w:rPr>
        <w:t>Press Release</w:t>
      </w:r>
    </w:p>
    <w:p w14:paraId="7C1287E7" w14:textId="6DF4A093" w:rsidR="006B2CB9" w:rsidRDefault="006B2CB9" w:rsidP="006B2CB9">
      <w:pPr>
        <w:spacing w:after="0"/>
        <w:rPr>
          <w:rFonts w:ascii="Arial" w:hAnsi="Arial" w:cs="Arial"/>
          <w:lang w:val="en-GB"/>
        </w:rPr>
      </w:pPr>
    </w:p>
    <w:p w14:paraId="7991F19F" w14:textId="77777777" w:rsidR="006B2CB9" w:rsidRPr="006B2CB9" w:rsidRDefault="006B2CB9" w:rsidP="006B2CB9">
      <w:pPr>
        <w:jc w:val="both"/>
        <w:rPr>
          <w:rFonts w:cstheme="minorHAnsi"/>
          <w:b/>
          <w:sz w:val="28"/>
          <w:szCs w:val="28"/>
          <w:lang w:val="en-GB"/>
        </w:rPr>
      </w:pPr>
      <w:r w:rsidRPr="006B2CB9">
        <w:rPr>
          <w:rFonts w:cstheme="minorHAnsi"/>
          <w:b/>
          <w:sz w:val="28"/>
          <w:szCs w:val="28"/>
          <w:lang w:val="en-GB"/>
        </w:rPr>
        <w:t>At last an international diagnosis of higher education learning is available!</w:t>
      </w:r>
    </w:p>
    <w:p w14:paraId="6E70AC08" w14:textId="7062C46D" w:rsidR="006B2CB9" w:rsidRPr="00233441" w:rsidRDefault="006B2CB9" w:rsidP="006B2CB9">
      <w:pPr>
        <w:jc w:val="both"/>
        <w:rPr>
          <w:rFonts w:cstheme="minorHAnsi"/>
          <w:sz w:val="20"/>
          <w:szCs w:val="20"/>
          <w:lang w:val="en-GB"/>
        </w:rPr>
      </w:pPr>
      <w:r>
        <w:rPr>
          <w:rFonts w:cstheme="minorHAnsi"/>
          <w:sz w:val="20"/>
          <w:szCs w:val="20"/>
          <w:lang w:val="en-GB"/>
        </w:rPr>
        <w:t xml:space="preserve">A key question throughout the world of higher education is: </w:t>
      </w:r>
      <w:r w:rsidRPr="00233441">
        <w:rPr>
          <w:rFonts w:cstheme="minorHAnsi"/>
          <w:sz w:val="20"/>
          <w:szCs w:val="20"/>
          <w:lang w:val="en-GB"/>
        </w:rPr>
        <w:t xml:space="preserve">Can </w:t>
      </w:r>
      <w:r>
        <w:rPr>
          <w:rFonts w:cstheme="minorHAnsi"/>
          <w:sz w:val="20"/>
          <w:szCs w:val="20"/>
          <w:lang w:val="en-GB"/>
        </w:rPr>
        <w:t xml:space="preserve">higher education </w:t>
      </w:r>
      <w:r w:rsidRPr="00233441">
        <w:rPr>
          <w:rFonts w:cstheme="minorHAnsi"/>
          <w:sz w:val="20"/>
          <w:szCs w:val="20"/>
          <w:lang w:val="en-GB"/>
        </w:rPr>
        <w:t>learning be improved and the improvement evidenced?</w:t>
      </w:r>
      <w:r>
        <w:rPr>
          <w:rFonts w:cstheme="minorHAnsi"/>
          <w:sz w:val="20"/>
          <w:szCs w:val="20"/>
          <w:lang w:val="en-GB"/>
        </w:rPr>
        <w:t xml:space="preserve"> </w:t>
      </w:r>
      <w:r w:rsidRPr="00233441">
        <w:rPr>
          <w:rFonts w:cstheme="minorHAnsi"/>
          <w:sz w:val="20"/>
          <w:szCs w:val="20"/>
          <w:lang w:val="en-GB"/>
        </w:rPr>
        <w:t xml:space="preserve">There is an apparent lack of trust by civic society of the performance of higher education institutions. This is especially regarding the </w:t>
      </w:r>
      <w:r>
        <w:rPr>
          <w:rFonts w:cstheme="minorHAnsi"/>
          <w:sz w:val="20"/>
          <w:szCs w:val="20"/>
          <w:lang w:val="en-GB"/>
        </w:rPr>
        <w:t xml:space="preserve">relevance and </w:t>
      </w:r>
      <w:r w:rsidRPr="00233441">
        <w:rPr>
          <w:rFonts w:cstheme="minorHAnsi"/>
          <w:sz w:val="20"/>
          <w:szCs w:val="20"/>
          <w:lang w:val="en-GB"/>
        </w:rPr>
        <w:t xml:space="preserve">effectiveness of the learning process that students undertake. </w:t>
      </w:r>
      <w:r>
        <w:rPr>
          <w:rFonts w:cstheme="minorHAnsi"/>
          <w:sz w:val="20"/>
          <w:szCs w:val="20"/>
          <w:lang w:val="en-GB"/>
        </w:rPr>
        <w:t>What is lacking are any clear up-to-date and forward</w:t>
      </w:r>
      <w:r w:rsidR="00E6385F">
        <w:rPr>
          <w:rFonts w:cstheme="minorHAnsi"/>
          <w:sz w:val="20"/>
          <w:szCs w:val="20"/>
          <w:lang w:val="en-GB"/>
        </w:rPr>
        <w:t>-</w:t>
      </w:r>
      <w:r>
        <w:rPr>
          <w:rFonts w:cstheme="minorHAnsi"/>
          <w:sz w:val="20"/>
          <w:szCs w:val="20"/>
          <w:lang w:val="en-GB"/>
        </w:rPr>
        <w:t xml:space="preserve">looking indicators to decide whether the learning it really appropriate. </w:t>
      </w:r>
      <w:r w:rsidRPr="00233441">
        <w:rPr>
          <w:rFonts w:cstheme="minorHAnsi"/>
          <w:sz w:val="20"/>
          <w:szCs w:val="20"/>
          <w:lang w:val="en-GB"/>
        </w:rPr>
        <w:t>How can this be diagnosed and the diagnosis used to enhance learning and better prepare all students for their future roles in society?</w:t>
      </w:r>
    </w:p>
    <w:p w14:paraId="7384A703" w14:textId="77777777" w:rsidR="006B2CB9" w:rsidRPr="00233441" w:rsidRDefault="006B2CB9" w:rsidP="006B2CB9">
      <w:pPr>
        <w:jc w:val="both"/>
        <w:rPr>
          <w:rFonts w:cstheme="minorHAnsi"/>
          <w:sz w:val="20"/>
          <w:szCs w:val="20"/>
          <w:lang w:val="en-GB"/>
        </w:rPr>
      </w:pPr>
      <w:r w:rsidRPr="00233441">
        <w:rPr>
          <w:rFonts w:cstheme="minorHAnsi"/>
          <w:sz w:val="20"/>
          <w:szCs w:val="20"/>
          <w:lang w:val="en-GB"/>
        </w:rPr>
        <w:t xml:space="preserve">The </w:t>
      </w:r>
      <w:r w:rsidRPr="00233441">
        <w:rPr>
          <w:rFonts w:cstheme="minorHAnsi"/>
          <w:i/>
          <w:sz w:val="20"/>
          <w:szCs w:val="20"/>
          <w:lang w:val="en-GB"/>
        </w:rPr>
        <w:t xml:space="preserve">Measuring and Comparing Achievements of Learning Outcomes in Higher Education in Europe (CALOHEE) </w:t>
      </w:r>
      <w:r w:rsidRPr="00233441">
        <w:rPr>
          <w:rFonts w:cstheme="minorHAnsi"/>
          <w:sz w:val="20"/>
          <w:szCs w:val="20"/>
          <w:lang w:val="en-GB"/>
        </w:rPr>
        <w:t xml:space="preserve">project, through the work of groups of academics and students, in consultation with a wide circle of stakeholders, including employers, graduates, and professional bodies has analysed the general descriptors of 5 subject areas (Civil Engineering, Teacher Education, History, Nursing, and Physics). The team includes representatives from </w:t>
      </w:r>
      <w:r>
        <w:rPr>
          <w:rFonts w:cstheme="minorHAnsi"/>
          <w:sz w:val="20"/>
          <w:szCs w:val="20"/>
          <w:lang w:val="en-GB"/>
        </w:rPr>
        <w:t xml:space="preserve">28 </w:t>
      </w:r>
      <w:r w:rsidRPr="00233441">
        <w:rPr>
          <w:rFonts w:cstheme="minorHAnsi"/>
          <w:sz w:val="20"/>
          <w:szCs w:val="20"/>
          <w:lang w:val="en-GB"/>
        </w:rPr>
        <w:t>countries.</w:t>
      </w:r>
    </w:p>
    <w:p w14:paraId="430824E3" w14:textId="77777777" w:rsidR="006B2CB9" w:rsidRPr="00233441" w:rsidRDefault="006B2CB9" w:rsidP="006B2CB9">
      <w:pPr>
        <w:jc w:val="both"/>
        <w:rPr>
          <w:rFonts w:cstheme="minorHAnsi"/>
          <w:sz w:val="20"/>
          <w:szCs w:val="20"/>
          <w:lang w:val="en-GB"/>
        </w:rPr>
      </w:pPr>
      <w:r w:rsidRPr="00233441">
        <w:rPr>
          <w:rFonts w:cstheme="minorHAnsi"/>
          <w:sz w:val="20"/>
          <w:szCs w:val="20"/>
          <w:lang w:val="en-GB"/>
        </w:rPr>
        <w:t>Each subject analysis has then been placed in the context of a merger of the Qualifications Framework of the European Higher Education Area (QF of the EHEA) and the European Qualifications Framework for Lifelong Learning (EQF for LLL). This analysis has resulted in the development of three core documents: Subject Area Qualifications Reference Frameworks; Assessment Reference Frameworks; and Guidelines and Reference Point</w:t>
      </w:r>
      <w:bookmarkStart w:id="0" w:name="_GoBack"/>
      <w:bookmarkEnd w:id="0"/>
      <w:r w:rsidRPr="00233441">
        <w:rPr>
          <w:rFonts w:cstheme="minorHAnsi"/>
          <w:sz w:val="20"/>
          <w:szCs w:val="20"/>
          <w:lang w:val="en-GB"/>
        </w:rPr>
        <w:t>s Brochures. These provide a detailed insight into what students are expected to learn to be well prepared for their future</w:t>
      </w:r>
      <w:r>
        <w:rPr>
          <w:rFonts w:cstheme="minorHAnsi"/>
          <w:sz w:val="20"/>
          <w:szCs w:val="20"/>
          <w:lang w:val="en-GB"/>
        </w:rPr>
        <w:t xml:space="preserve">. </w:t>
      </w:r>
      <w:r w:rsidRPr="00233441">
        <w:rPr>
          <w:rFonts w:cstheme="minorHAnsi"/>
          <w:sz w:val="20"/>
          <w:szCs w:val="20"/>
          <w:lang w:val="en-GB"/>
        </w:rPr>
        <w:t xml:space="preserve">Higher Education Institutions </w:t>
      </w:r>
      <w:r>
        <w:rPr>
          <w:rFonts w:cstheme="minorHAnsi"/>
          <w:sz w:val="20"/>
          <w:szCs w:val="20"/>
          <w:lang w:val="en-GB"/>
        </w:rPr>
        <w:t xml:space="preserve">will be able </w:t>
      </w:r>
      <w:r w:rsidRPr="00233441">
        <w:rPr>
          <w:rFonts w:cstheme="minorHAnsi"/>
          <w:sz w:val="20"/>
          <w:szCs w:val="20"/>
          <w:lang w:val="en-GB"/>
        </w:rPr>
        <w:t>to match their present programme designs and contents with internationally developed reference points</w:t>
      </w:r>
      <w:r>
        <w:rPr>
          <w:rFonts w:cstheme="minorHAnsi"/>
          <w:sz w:val="20"/>
          <w:szCs w:val="20"/>
          <w:lang w:val="en-GB"/>
        </w:rPr>
        <w:t xml:space="preserve">. Quality Assurance Bodies will have access to reliable internationally agreed frameworks to assess the quality and relevance of individual degree programmes. </w:t>
      </w:r>
    </w:p>
    <w:p w14:paraId="2A7BE99D" w14:textId="77777777" w:rsidR="006B2CB9" w:rsidRPr="00233441" w:rsidRDefault="006B2CB9" w:rsidP="006B2CB9">
      <w:pPr>
        <w:jc w:val="both"/>
        <w:rPr>
          <w:rFonts w:cstheme="minorHAnsi"/>
          <w:sz w:val="20"/>
          <w:szCs w:val="20"/>
          <w:lang w:val="en-GB"/>
        </w:rPr>
      </w:pPr>
      <w:r w:rsidRPr="00233441">
        <w:rPr>
          <w:rStyle w:val="Emphasis"/>
          <w:rFonts w:cstheme="minorHAnsi"/>
          <w:b/>
          <w:bCs/>
          <w:color w:val="4F81BD" w:themeColor="accent1"/>
          <w:sz w:val="20"/>
          <w:szCs w:val="20"/>
          <w:shd w:val="clear" w:color="auto" w:fill="FFFFFF"/>
          <w:lang w:val="en-GB"/>
        </w:rPr>
        <w:t>Subject Area Qualifications and Assessment Reference Frameworks</w:t>
      </w:r>
      <w:r w:rsidRPr="00233441">
        <w:rPr>
          <w:rStyle w:val="Emphasis"/>
          <w:rFonts w:cstheme="minorHAnsi"/>
          <w:b/>
          <w:bCs/>
          <w:color w:val="4F81BD" w:themeColor="accent1"/>
          <w:sz w:val="20"/>
          <w:szCs w:val="20"/>
          <w:shd w:val="clear" w:color="auto" w:fill="FFFFFF"/>
          <w:lang w:val="en-GB"/>
        </w:rPr>
        <w:tab/>
      </w:r>
      <w:r w:rsidRPr="00233441">
        <w:rPr>
          <w:rStyle w:val="Emphasis"/>
          <w:rFonts w:cstheme="minorHAnsi"/>
          <w:b/>
          <w:bCs/>
          <w:color w:val="333333"/>
          <w:sz w:val="20"/>
          <w:szCs w:val="20"/>
          <w:shd w:val="clear" w:color="auto" w:fill="FFFFFF"/>
          <w:lang w:val="en-GB"/>
        </w:rPr>
        <w:br/>
      </w:r>
      <w:r w:rsidRPr="00233441">
        <w:rPr>
          <w:rFonts w:cstheme="minorHAnsi"/>
          <w:sz w:val="20"/>
          <w:szCs w:val="20"/>
          <w:lang w:val="en-GB"/>
        </w:rPr>
        <w:t xml:space="preserve">The </w:t>
      </w:r>
      <w:r w:rsidRPr="00233441">
        <w:rPr>
          <w:rFonts w:cstheme="minorHAnsi"/>
          <w:b/>
          <w:sz w:val="20"/>
          <w:szCs w:val="20"/>
          <w:lang w:val="en-GB"/>
        </w:rPr>
        <w:t xml:space="preserve">Subject Area Qualifications Reference Frameworks </w:t>
      </w:r>
      <w:r w:rsidRPr="00233441">
        <w:rPr>
          <w:rFonts w:cstheme="minorHAnsi"/>
          <w:sz w:val="20"/>
          <w:szCs w:val="20"/>
          <w:lang w:val="en-GB"/>
        </w:rPr>
        <w:t>provide a sound basis for defining the programme learning outcomes of individual degree programmes of the first and second cycle (Bachelor and Master). Making the distinction between knowledge, skills and autonomy and responsibility (‘wider competences’) they offer clear indicators for the alignment with the (potential) workplace and for active civic, social and cultural engagement.</w:t>
      </w:r>
    </w:p>
    <w:p w14:paraId="6EBDFB02" w14:textId="524E9157" w:rsidR="006B2CB9" w:rsidRPr="00233441" w:rsidRDefault="006B2CB9" w:rsidP="006B2CB9">
      <w:pPr>
        <w:jc w:val="both"/>
        <w:rPr>
          <w:rFonts w:cstheme="minorHAnsi"/>
          <w:sz w:val="20"/>
          <w:szCs w:val="20"/>
          <w:lang w:val="en-GB"/>
        </w:rPr>
      </w:pPr>
      <w:r w:rsidRPr="00233441">
        <w:rPr>
          <w:rFonts w:cstheme="minorHAnsi"/>
          <w:sz w:val="20"/>
          <w:szCs w:val="20"/>
          <w:lang w:val="en-GB"/>
        </w:rPr>
        <w:t xml:space="preserve">Much more detailed are the </w:t>
      </w:r>
      <w:r w:rsidRPr="00233441">
        <w:rPr>
          <w:rFonts w:cstheme="minorHAnsi"/>
          <w:b/>
          <w:sz w:val="20"/>
          <w:szCs w:val="20"/>
          <w:lang w:val="en-GB"/>
        </w:rPr>
        <w:t>Assessment Reference Frameworks,</w:t>
      </w:r>
      <w:r w:rsidRPr="00233441">
        <w:rPr>
          <w:rFonts w:cstheme="minorHAnsi"/>
          <w:sz w:val="20"/>
          <w:szCs w:val="20"/>
          <w:lang w:val="en-GB"/>
        </w:rPr>
        <w:t xml:space="preserve"> which offer – besides a breakdown of subject area general descriptors in measurable learning outcomes statements – examples of good practice of learning, teaching and assessment (LTA) methods and approaches to achieve the level of competence indicated. The use of a variety of appropriate LTA methods and approaches is another indicator for deciding on the quality of a degree programme. These </w:t>
      </w:r>
      <w:r w:rsidR="00E6385F">
        <w:rPr>
          <w:rFonts w:cstheme="minorHAnsi"/>
          <w:sz w:val="20"/>
          <w:szCs w:val="20"/>
          <w:lang w:val="en-GB"/>
        </w:rPr>
        <w:t xml:space="preserve">Assessment Reference </w:t>
      </w:r>
      <w:r w:rsidRPr="00233441">
        <w:rPr>
          <w:rFonts w:cstheme="minorHAnsi"/>
          <w:sz w:val="20"/>
          <w:szCs w:val="20"/>
          <w:lang w:val="en-GB"/>
        </w:rPr>
        <w:t xml:space="preserve">Frameworks offer broad ‘menus’ of what has been identified as the learning of each subject area. The diagnosis allows for </w:t>
      </w:r>
      <w:r>
        <w:rPr>
          <w:rFonts w:cstheme="minorHAnsi"/>
          <w:sz w:val="20"/>
          <w:szCs w:val="20"/>
          <w:lang w:val="en-GB"/>
        </w:rPr>
        <w:t>informed</w:t>
      </w:r>
      <w:r w:rsidRPr="00233441">
        <w:rPr>
          <w:rFonts w:cstheme="minorHAnsi"/>
          <w:sz w:val="20"/>
          <w:szCs w:val="20"/>
          <w:lang w:val="en-GB"/>
        </w:rPr>
        <w:t xml:space="preserve"> choices regarding the composition and implementation of individual degree programmes.</w:t>
      </w:r>
    </w:p>
    <w:p w14:paraId="095366CE" w14:textId="77777777" w:rsidR="006B2CB9" w:rsidRPr="00233441" w:rsidRDefault="006B2CB9" w:rsidP="006B2CB9">
      <w:pPr>
        <w:jc w:val="both"/>
        <w:rPr>
          <w:rFonts w:cstheme="minorHAnsi"/>
          <w:sz w:val="20"/>
          <w:szCs w:val="20"/>
          <w:lang w:val="en-GB"/>
        </w:rPr>
      </w:pPr>
      <w:r w:rsidRPr="00233441">
        <w:rPr>
          <w:rFonts w:cstheme="minorHAnsi"/>
          <w:sz w:val="20"/>
          <w:szCs w:val="20"/>
          <w:lang w:val="en-GB"/>
        </w:rPr>
        <w:t xml:space="preserve">The </w:t>
      </w:r>
      <w:r w:rsidRPr="00233441">
        <w:rPr>
          <w:rFonts w:cstheme="minorHAnsi"/>
          <w:b/>
          <w:sz w:val="20"/>
          <w:szCs w:val="20"/>
          <w:lang w:val="en-GB"/>
        </w:rPr>
        <w:t xml:space="preserve">Guidelines and Reference Points Brochures </w:t>
      </w:r>
      <w:r w:rsidRPr="00233441">
        <w:rPr>
          <w:rFonts w:cstheme="minorHAnsi"/>
          <w:sz w:val="20"/>
          <w:szCs w:val="20"/>
          <w:lang w:val="en-GB"/>
        </w:rPr>
        <w:t xml:space="preserve">for </w:t>
      </w:r>
      <w:r>
        <w:rPr>
          <w:rFonts w:cstheme="minorHAnsi"/>
          <w:sz w:val="20"/>
          <w:szCs w:val="20"/>
          <w:lang w:val="en-GB"/>
        </w:rPr>
        <w:t xml:space="preserve">each of the pilot subjects </w:t>
      </w:r>
      <w:r w:rsidRPr="00233441">
        <w:rPr>
          <w:rFonts w:cstheme="minorHAnsi"/>
          <w:sz w:val="20"/>
          <w:szCs w:val="20"/>
          <w:lang w:val="en-GB"/>
        </w:rPr>
        <w:t xml:space="preserve">provide educators, administrators, students and quality assurance experts with tools for understanding how degree programmes can be most effectively organised, evaluated </w:t>
      </w:r>
      <w:r>
        <w:rPr>
          <w:rFonts w:cstheme="minorHAnsi"/>
          <w:sz w:val="20"/>
          <w:szCs w:val="20"/>
          <w:lang w:val="en-GB"/>
        </w:rPr>
        <w:t xml:space="preserve">and </w:t>
      </w:r>
      <w:r w:rsidRPr="00233441">
        <w:rPr>
          <w:rFonts w:cstheme="minorHAnsi"/>
          <w:sz w:val="20"/>
          <w:szCs w:val="20"/>
          <w:lang w:val="en-GB"/>
        </w:rPr>
        <w:t>improved. They also offer clear indicators about the potential employability fields, and in particular the roles, responsibilities and tasks which graduates are expected to take up in society.</w:t>
      </w:r>
    </w:p>
    <w:p w14:paraId="5CC12AC0" w14:textId="798A3F3B" w:rsidR="006B2CB9" w:rsidRPr="006B2CB9" w:rsidRDefault="006B2CB9" w:rsidP="006B2CB9">
      <w:pPr>
        <w:jc w:val="both"/>
        <w:rPr>
          <w:rFonts w:cs="Arial"/>
          <w:i/>
          <w:iCs/>
          <w:color w:val="404040" w:themeColor="text1" w:themeTint="BF"/>
          <w:sz w:val="20"/>
          <w:lang w:val="en-GB"/>
        </w:rPr>
      </w:pPr>
      <w:r w:rsidRPr="00233441">
        <w:rPr>
          <w:rFonts w:cstheme="minorHAnsi"/>
          <w:b/>
          <w:color w:val="4F81BD" w:themeColor="accent1"/>
          <w:sz w:val="20"/>
          <w:szCs w:val="20"/>
          <w:lang w:val="en-GB"/>
        </w:rPr>
        <w:t xml:space="preserve">Significant Impact on EU Policy </w:t>
      </w:r>
      <w:r w:rsidRPr="00233441">
        <w:rPr>
          <w:rFonts w:cstheme="minorHAnsi"/>
          <w:b/>
          <w:color w:val="4F81BD" w:themeColor="accent1"/>
          <w:sz w:val="20"/>
          <w:szCs w:val="20"/>
          <w:lang w:val="en-GB"/>
        </w:rPr>
        <w:tab/>
      </w:r>
      <w:r w:rsidRPr="00233441">
        <w:rPr>
          <w:rFonts w:cstheme="minorHAnsi"/>
          <w:b/>
          <w:color w:val="4F81BD" w:themeColor="accent1"/>
          <w:sz w:val="20"/>
          <w:szCs w:val="20"/>
          <w:lang w:val="en-GB"/>
        </w:rPr>
        <w:br/>
      </w:r>
      <w:r w:rsidRPr="00233441">
        <w:rPr>
          <w:rFonts w:cstheme="minorHAnsi"/>
          <w:sz w:val="20"/>
          <w:szCs w:val="20"/>
          <w:lang w:val="en-GB"/>
        </w:rPr>
        <w:t xml:space="preserve">CALOHEE </w:t>
      </w:r>
      <w:r w:rsidRPr="00233441">
        <w:rPr>
          <w:rFonts w:cstheme="minorHAnsi"/>
          <w:b/>
          <w:sz w:val="20"/>
          <w:szCs w:val="20"/>
          <w:lang w:val="en-GB"/>
        </w:rPr>
        <w:t>outcomes</w:t>
      </w:r>
      <w:r w:rsidRPr="00233441">
        <w:rPr>
          <w:rFonts w:cstheme="minorHAnsi"/>
          <w:sz w:val="20"/>
          <w:szCs w:val="20"/>
          <w:lang w:val="en-GB"/>
        </w:rPr>
        <w:t xml:space="preserve"> (available on </w:t>
      </w:r>
      <w:hyperlink r:id="rId11" w:history="1">
        <w:r w:rsidRPr="00233441">
          <w:rPr>
            <w:rStyle w:val="Hyperlink"/>
            <w:rFonts w:cstheme="minorHAnsi"/>
            <w:bCs/>
            <w:sz w:val="20"/>
            <w:szCs w:val="20"/>
            <w:shd w:val="clear" w:color="auto" w:fill="FFFFFF"/>
            <w:lang w:val="en-GB"/>
          </w:rPr>
          <w:t>https://www.calohee.eu/</w:t>
        </w:r>
      </w:hyperlink>
      <w:r w:rsidRPr="00233441">
        <w:rPr>
          <w:rStyle w:val="Emphasis"/>
          <w:rFonts w:cstheme="minorHAnsi"/>
          <w:bCs/>
          <w:color w:val="333333"/>
          <w:sz w:val="20"/>
          <w:szCs w:val="20"/>
          <w:shd w:val="clear" w:color="auto" w:fill="FFFFFF"/>
          <w:lang w:val="en-GB"/>
        </w:rPr>
        <w:t xml:space="preserve">) </w:t>
      </w:r>
      <w:r w:rsidRPr="00233441">
        <w:rPr>
          <w:rFonts w:cstheme="minorHAnsi"/>
          <w:sz w:val="20"/>
          <w:szCs w:val="20"/>
          <w:lang w:val="en-GB"/>
        </w:rPr>
        <w:t xml:space="preserve">contribute significantly to </w:t>
      </w:r>
      <w:r w:rsidRPr="00233441">
        <w:rPr>
          <w:rFonts w:cstheme="minorHAnsi"/>
          <w:b/>
          <w:sz w:val="20"/>
          <w:szCs w:val="20"/>
          <w:lang w:val="en-GB"/>
        </w:rPr>
        <w:t>EU policies</w:t>
      </w:r>
      <w:r w:rsidRPr="00233441">
        <w:rPr>
          <w:rFonts w:cstheme="minorHAnsi"/>
          <w:sz w:val="20"/>
          <w:szCs w:val="20"/>
          <w:lang w:val="en-GB"/>
        </w:rPr>
        <w:t xml:space="preserve"> and </w:t>
      </w:r>
      <w:r w:rsidRPr="00233441">
        <w:rPr>
          <w:rFonts w:cstheme="minorHAnsi"/>
          <w:b/>
          <w:sz w:val="20"/>
          <w:szCs w:val="20"/>
          <w:lang w:val="en-GB"/>
        </w:rPr>
        <w:t>plans for the future</w:t>
      </w:r>
      <w:r w:rsidRPr="00233441">
        <w:rPr>
          <w:rFonts w:cstheme="minorHAnsi"/>
          <w:sz w:val="20"/>
          <w:szCs w:val="20"/>
          <w:lang w:val="en-GB"/>
        </w:rPr>
        <w:t xml:space="preserve">. In June 2016 the project aims have been </w:t>
      </w:r>
      <w:r>
        <w:rPr>
          <w:rFonts w:cstheme="minorHAnsi"/>
          <w:sz w:val="20"/>
          <w:szCs w:val="20"/>
          <w:lang w:val="en-GB"/>
        </w:rPr>
        <w:t xml:space="preserve">in effect </w:t>
      </w:r>
      <w:r w:rsidRPr="00233441">
        <w:rPr>
          <w:rFonts w:cstheme="minorHAnsi"/>
          <w:sz w:val="20"/>
          <w:szCs w:val="20"/>
          <w:lang w:val="en-GB"/>
        </w:rPr>
        <w:t xml:space="preserve">made formal EU policy by including </w:t>
      </w:r>
      <w:r>
        <w:rPr>
          <w:rFonts w:cstheme="minorHAnsi"/>
          <w:sz w:val="20"/>
          <w:szCs w:val="20"/>
          <w:lang w:val="en-GB"/>
        </w:rPr>
        <w:t>these</w:t>
      </w:r>
      <w:r w:rsidRPr="00233441">
        <w:rPr>
          <w:rFonts w:cstheme="minorHAnsi"/>
          <w:sz w:val="20"/>
          <w:szCs w:val="20"/>
          <w:lang w:val="en-GB"/>
        </w:rPr>
        <w:t xml:space="preserve"> in the EC Communication ‘</w:t>
      </w:r>
      <w:r w:rsidRPr="00233441">
        <w:rPr>
          <w:rFonts w:cstheme="minorHAnsi"/>
          <w:i/>
          <w:sz w:val="20"/>
          <w:szCs w:val="20"/>
          <w:lang w:val="en-GB"/>
        </w:rPr>
        <w:t>A New Skills Agenda for Europe</w:t>
      </w:r>
      <w:r w:rsidRPr="00233441">
        <w:rPr>
          <w:rFonts w:cstheme="minorHAnsi"/>
          <w:sz w:val="20"/>
          <w:szCs w:val="20"/>
          <w:lang w:val="en-GB"/>
        </w:rPr>
        <w:t>’, which asks for evidence-based learning.</w:t>
      </w:r>
      <w:r>
        <w:rPr>
          <w:rFonts w:ascii="Arial" w:hAnsi="Arial" w:cs="Arial"/>
          <w:sz w:val="20"/>
          <w:lang w:val="en-GB"/>
        </w:rPr>
        <w:tab/>
      </w:r>
      <w:r w:rsidRPr="0058503B">
        <w:rPr>
          <w:rFonts w:ascii="Arial" w:hAnsi="Arial" w:cs="Arial"/>
          <w:sz w:val="20"/>
          <w:lang w:val="en-GB"/>
        </w:rPr>
        <w:t xml:space="preserve"> </w:t>
      </w:r>
      <w:r w:rsidRPr="0058503B">
        <w:rPr>
          <w:rFonts w:ascii="Arial" w:hAnsi="Arial" w:cs="Arial"/>
          <w:sz w:val="20"/>
          <w:lang w:val="en-GB"/>
        </w:rPr>
        <w:br/>
      </w:r>
      <w:r w:rsidRPr="0058503B">
        <w:rPr>
          <w:rFonts w:ascii="Arial" w:hAnsi="Arial" w:cs="Arial"/>
          <w:sz w:val="20"/>
          <w:lang w:val="en-GB"/>
        </w:rPr>
        <w:br/>
      </w:r>
      <w:r w:rsidRPr="00E7071F">
        <w:rPr>
          <w:rFonts w:cs="Arial"/>
          <w:sz w:val="20"/>
          <w:lang w:val="en-GB"/>
        </w:rPr>
        <w:t>Commissioner Tibor Navracsics, responsible for Education, Culture, Youth and Sport, at the outset stressed the importance of CALOHEE: “</w:t>
      </w:r>
      <w:r w:rsidRPr="00E7071F">
        <w:rPr>
          <w:rStyle w:val="QuoteChar"/>
          <w:rFonts w:cs="Arial"/>
          <w:sz w:val="20"/>
          <w:lang w:val="en-GB"/>
        </w:rPr>
        <w:t>Boosting economic growth and job creation in Europe is the top political priority of this Commission. We will only succeed in this if we help ensure that our education institutions equip people with the skills needed in a dynamic, globalised economy. That is why I am very much looking forward to the results of this study funded under our Erasmus+ programme. We need more reliable data on how higher education institutions across Europe perform in order to raise standards – and I particularly welcome the focus on competences related to employability.</w:t>
      </w:r>
    </w:p>
    <w:sectPr w:rsidR="006B2CB9" w:rsidRPr="006B2CB9" w:rsidSect="000C3138">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C39C4" w14:textId="77777777" w:rsidR="00001B97" w:rsidRDefault="00001B97" w:rsidP="003E76BF">
      <w:pPr>
        <w:spacing w:after="0" w:line="240" w:lineRule="auto"/>
      </w:pPr>
      <w:r>
        <w:separator/>
      </w:r>
    </w:p>
  </w:endnote>
  <w:endnote w:type="continuationSeparator" w:id="0">
    <w:p w14:paraId="3F3C099A" w14:textId="77777777" w:rsidR="00001B97" w:rsidRDefault="00001B97" w:rsidP="003E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ABD7" w14:textId="77777777" w:rsidR="00001B97" w:rsidRDefault="00001B97" w:rsidP="003E76BF">
      <w:pPr>
        <w:spacing w:after="0" w:line="240" w:lineRule="auto"/>
      </w:pPr>
      <w:r>
        <w:separator/>
      </w:r>
    </w:p>
  </w:footnote>
  <w:footnote w:type="continuationSeparator" w:id="0">
    <w:p w14:paraId="46423297" w14:textId="77777777" w:rsidR="00001B97" w:rsidRDefault="00001B97" w:rsidP="003E7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27FE"/>
    <w:multiLevelType w:val="hybridMultilevel"/>
    <w:tmpl w:val="E320F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49"/>
    <w:rsid w:val="00001B97"/>
    <w:rsid w:val="00054D87"/>
    <w:rsid w:val="000C3138"/>
    <w:rsid w:val="000D2F52"/>
    <w:rsid w:val="00103849"/>
    <w:rsid w:val="001D30FA"/>
    <w:rsid w:val="00204E65"/>
    <w:rsid w:val="002228A9"/>
    <w:rsid w:val="00234988"/>
    <w:rsid w:val="00250C61"/>
    <w:rsid w:val="00330144"/>
    <w:rsid w:val="0037325A"/>
    <w:rsid w:val="00385D58"/>
    <w:rsid w:val="003E3E79"/>
    <w:rsid w:val="003E76BF"/>
    <w:rsid w:val="004326D6"/>
    <w:rsid w:val="00434086"/>
    <w:rsid w:val="0058503B"/>
    <w:rsid w:val="005C1836"/>
    <w:rsid w:val="006B2CB9"/>
    <w:rsid w:val="00712B20"/>
    <w:rsid w:val="007A2251"/>
    <w:rsid w:val="00802BFE"/>
    <w:rsid w:val="0083082F"/>
    <w:rsid w:val="008C16FD"/>
    <w:rsid w:val="008D2209"/>
    <w:rsid w:val="008D785F"/>
    <w:rsid w:val="00987C62"/>
    <w:rsid w:val="00A70D78"/>
    <w:rsid w:val="00A8181C"/>
    <w:rsid w:val="00BD2B78"/>
    <w:rsid w:val="00D50C29"/>
    <w:rsid w:val="00DC78EB"/>
    <w:rsid w:val="00E6385F"/>
    <w:rsid w:val="00E7490A"/>
    <w:rsid w:val="00F13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E045"/>
  <w15:chartTrackingRefBased/>
  <w15:docId w15:val="{6BA5CA2C-1B4E-47C8-B6A8-228F3C6E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C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987C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3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84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03849"/>
    <w:rPr>
      <w:b/>
      <w:bCs/>
    </w:rPr>
  </w:style>
  <w:style w:type="character" w:styleId="Emphasis">
    <w:name w:val="Emphasis"/>
    <w:basedOn w:val="DefaultParagraphFont"/>
    <w:uiPriority w:val="20"/>
    <w:qFormat/>
    <w:rsid w:val="00103849"/>
    <w:rPr>
      <w:i/>
      <w:iCs/>
    </w:rPr>
  </w:style>
  <w:style w:type="character" w:styleId="Hyperlink">
    <w:name w:val="Hyperlink"/>
    <w:basedOn w:val="DefaultParagraphFont"/>
    <w:uiPriority w:val="99"/>
    <w:unhideWhenUsed/>
    <w:rsid w:val="00103849"/>
    <w:rPr>
      <w:color w:val="0000FF" w:themeColor="hyperlink"/>
      <w:u w:val="single"/>
    </w:rPr>
  </w:style>
  <w:style w:type="paragraph" w:styleId="ListParagraph">
    <w:name w:val="List Paragraph"/>
    <w:basedOn w:val="Normal"/>
    <w:uiPriority w:val="34"/>
    <w:qFormat/>
    <w:rsid w:val="00103849"/>
    <w:pPr>
      <w:ind w:left="720"/>
      <w:contextualSpacing/>
    </w:pPr>
  </w:style>
  <w:style w:type="character" w:customStyle="1" w:styleId="Heading1Char">
    <w:name w:val="Heading 1 Char"/>
    <w:basedOn w:val="DefaultParagraphFont"/>
    <w:link w:val="Heading1"/>
    <w:uiPriority w:val="9"/>
    <w:rsid w:val="00987C6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987C6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3E76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76BF"/>
  </w:style>
  <w:style w:type="paragraph" w:styleId="Footer">
    <w:name w:val="footer"/>
    <w:basedOn w:val="Normal"/>
    <w:link w:val="FooterChar"/>
    <w:uiPriority w:val="99"/>
    <w:unhideWhenUsed/>
    <w:rsid w:val="003E7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6BF"/>
  </w:style>
  <w:style w:type="paragraph" w:styleId="Quote">
    <w:name w:val="Quote"/>
    <w:basedOn w:val="Normal"/>
    <w:next w:val="Normal"/>
    <w:link w:val="QuoteChar"/>
    <w:uiPriority w:val="29"/>
    <w:qFormat/>
    <w:rsid w:val="003E76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76BF"/>
    <w:rPr>
      <w:i/>
      <w:iCs/>
      <w:color w:val="404040" w:themeColor="text1" w:themeTint="BF"/>
    </w:rPr>
  </w:style>
  <w:style w:type="table" w:styleId="TableGrid">
    <w:name w:val="Table Grid"/>
    <w:basedOn w:val="TableNormal"/>
    <w:uiPriority w:val="59"/>
    <w:rsid w:val="003E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9598">
      <w:bodyDiv w:val="1"/>
      <w:marLeft w:val="0"/>
      <w:marRight w:val="0"/>
      <w:marTop w:val="0"/>
      <w:marBottom w:val="0"/>
      <w:divBdr>
        <w:top w:val="none" w:sz="0" w:space="0" w:color="auto"/>
        <w:left w:val="none" w:sz="0" w:space="0" w:color="auto"/>
        <w:bottom w:val="none" w:sz="0" w:space="0" w:color="auto"/>
        <w:right w:val="none" w:sz="0" w:space="0" w:color="auto"/>
      </w:divBdr>
    </w:div>
    <w:div w:id="1006395287">
      <w:bodyDiv w:val="1"/>
      <w:marLeft w:val="0"/>
      <w:marRight w:val="0"/>
      <w:marTop w:val="0"/>
      <w:marBottom w:val="0"/>
      <w:divBdr>
        <w:top w:val="none" w:sz="0" w:space="0" w:color="auto"/>
        <w:left w:val="none" w:sz="0" w:space="0" w:color="auto"/>
        <w:bottom w:val="none" w:sz="0" w:space="0" w:color="auto"/>
        <w:right w:val="none" w:sz="0" w:space="0" w:color="auto"/>
      </w:divBdr>
    </w:div>
    <w:div w:id="1283726867">
      <w:bodyDiv w:val="1"/>
      <w:marLeft w:val="0"/>
      <w:marRight w:val="0"/>
      <w:marTop w:val="0"/>
      <w:marBottom w:val="0"/>
      <w:divBdr>
        <w:top w:val="none" w:sz="0" w:space="0" w:color="auto"/>
        <w:left w:val="none" w:sz="0" w:space="0" w:color="auto"/>
        <w:bottom w:val="none" w:sz="0" w:space="0" w:color="auto"/>
        <w:right w:val="none" w:sz="0" w:space="0" w:color="auto"/>
      </w:divBdr>
    </w:div>
    <w:div w:id="1356300158">
      <w:bodyDiv w:val="1"/>
      <w:marLeft w:val="0"/>
      <w:marRight w:val="0"/>
      <w:marTop w:val="0"/>
      <w:marBottom w:val="0"/>
      <w:divBdr>
        <w:top w:val="none" w:sz="0" w:space="0" w:color="auto"/>
        <w:left w:val="none" w:sz="0" w:space="0" w:color="auto"/>
        <w:bottom w:val="none" w:sz="0" w:space="0" w:color="auto"/>
        <w:right w:val="none" w:sz="0" w:space="0" w:color="auto"/>
      </w:divBdr>
    </w:div>
    <w:div w:id="20070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ohee.eu/"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549D-5E58-41C7-9E4B-F2299C3E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Silvius</dc:creator>
  <cp:keywords/>
  <dc:description/>
  <cp:lastModifiedBy>A. Silvius</cp:lastModifiedBy>
  <cp:revision>2</cp:revision>
  <cp:lastPrinted>2018-11-05T11:37:00Z</cp:lastPrinted>
  <dcterms:created xsi:type="dcterms:W3CDTF">2018-11-07T11:00:00Z</dcterms:created>
  <dcterms:modified xsi:type="dcterms:W3CDTF">2018-11-07T11:00:00Z</dcterms:modified>
</cp:coreProperties>
</file>